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7E" w:rsidRDefault="001A1453" w:rsidP="001A1453">
      <w:pPr>
        <w:spacing w:after="0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6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№ 1 </w:t>
      </w:r>
    </w:p>
    <w:p w:rsidR="001A1453" w:rsidRPr="000E617E" w:rsidRDefault="000E617E" w:rsidP="000E617E">
      <w:pPr>
        <w:spacing w:after="0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</w:t>
      </w:r>
      <w:r w:rsidR="00043D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1A1453" w:rsidRPr="000E6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письму  от</w:t>
      </w:r>
      <w:r w:rsidR="00043D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22</w:t>
      </w:r>
      <w:r w:rsidR="001A1453" w:rsidRPr="000E6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.10.2018 г. №</w:t>
      </w:r>
      <w:r w:rsidR="00043D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3768</w:t>
      </w:r>
      <w:r w:rsidR="001A1453" w:rsidRPr="000E6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A145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Pr="004B1B1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1A1453" w:rsidRPr="004B1B1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9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месяцев 2018 года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proofErr w:type="gram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 на 20,6%. Так, на дорогах республики зарегистрировано 100 ДТП (АППГ – 126), в которых 3 (АППГ – 5) несовершеннолетних погибли, 104 (АППГ – 142) получили травмы различной</w:t>
      </w:r>
      <w:proofErr w:type="gram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степени тяжести. Тяжесть последствий составила 2,8 (АППГ – 3,4). Отмечается снижение количества ДТП, произошедших по собственной неосторожности детей на 29% (с 43 до 28).</w:t>
      </w:r>
    </w:p>
    <w:p w:rsidR="001A1453" w:rsidRPr="006B28DD" w:rsidRDefault="001A1453" w:rsidP="001A145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отмечается в следующих городах: Сыктывкар 45 (АППГ – 39), Усинск 9 (АППГ – 2)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4 (АППГ – 2).</w:t>
      </w:r>
    </w:p>
    <w:p w:rsidR="001A1453" w:rsidRPr="006B28DD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месяцам: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Количество ДТП за прошедшие месяцы: январь – 15 (15%), февраль – 12 (12%), март – 16 (16%), апрель – 3 (3%), май – 11 (11%), июнь – 12 (12%), июль – 15 (15%), август – 7 (7%), сентябрь – 9 (9%).</w:t>
      </w:r>
    </w:p>
    <w:p w:rsidR="001A1453" w:rsidRPr="006B28DD" w:rsidRDefault="001A1453" w:rsidP="001A145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дням недели: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произошло в пятницу — 25 ДТП (25%), а также в субботу –14 ДТП (14%), наименьшее число ДТП произошло в воскресенье 11 ДТП (11%).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1453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времени суток: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36% произошло в промежуток времени с 15:00 до 18:00, а также с 12:00 до 15:00 и с 18:00 до 21:00 – 19 и 18 ДТП соответственно.</w:t>
      </w:r>
    </w:p>
    <w:p w:rsidR="001A1453" w:rsidRPr="006B28DD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038725" cy="315277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73 ДТП, в темное время 27.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Возраст несовершеннолетних: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(45,8%), в которых пострадали 49 детей. В 27,1% несовершеннолетних участников ДТП – подростки в возрасте от 11 до 15 лет.  </w:t>
      </w:r>
    </w:p>
    <w:p w:rsidR="001A1453" w:rsidRPr="006B28DD" w:rsidRDefault="001A1453" w:rsidP="001A145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029200" cy="2867025"/>
            <wp:effectExtent l="0" t="0" r="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98 пострадавших детей – 61 мальчиков и 46 девочек.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Сопровождение: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момент ДТП 48 детей (44,8%) находились в сопровождении родителей или близких родственников. Из них в четверо несовершеннолетних пострадали по собственной неосторожности и один ребенок погиб.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</w:pPr>
    </w:p>
    <w:p w:rsidR="000E617E" w:rsidRDefault="000E617E" w:rsidP="001A145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</w:pPr>
    </w:p>
    <w:p w:rsidR="001A1453" w:rsidRPr="006B28DD" w:rsidRDefault="001A1453" w:rsidP="001A145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  <w:t>Категории участников ДТП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100 ДТП с участием детей и подростков в возрасте до 16 лет: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с </w:t>
      </w: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«детьми – пешеходами»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произошло 42 ДТП (АППГ – 63), в которых 3 ребенка погибли (АППГ – 1), 40 (АППГ – 68) получили травмы;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с </w:t>
      </w: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«детьми – пассажирами»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произошло 41 ДТП (АППГ – 43), в которых 47 (АППГ – 55) несовершеннолетних получили травмы;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с </w:t>
      </w: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«детьми водителями»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произошло 16 ДТП (АППГ – 20), в которых пострадали 16 несовершеннолетних.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качестве иного участника дорожного движения пострадал один ребенок (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Цилемский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1A1453" w:rsidRPr="006B28DD" w:rsidRDefault="001A1453" w:rsidP="001A1453">
      <w:pPr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4972050" cy="314325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с «детьми – пешеходами»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 9 месяцев 2018 года произошло 42 ДТП (-33,3%) с участием «детей – пешеходов», в которых 3 (+200%) ребенка погибли и 40 (-41,1%) получили травмы различной степени тяжести. </w:t>
      </w:r>
    </w:p>
    <w:p w:rsidR="001A1453" w:rsidRPr="006B28DD" w:rsidRDefault="001A1453" w:rsidP="001A1453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пешеходов отмечается в Усинск 6 (АППГ – 2),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Удорском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0)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районах. 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снижение на – 30,8% наездов на детей на пешеходных переходах. Так за 9 месяцев на пешеходных переходах пострадали 18 (АППГ – 26) несовершеннолетних, из которых 4 (АППГ – 7) на регулируемых пешеходных переходах. Вне пешеходного перехода пострадали 13 (АППГ – 23) несовершеннолетних и 12 (АППГ – 20) детей получили травмы в дворовых территориях.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присутствовали на одежде у 16 (37,2%) несовершеннолетних – пешеходов. В темное время суток пострадали 8 (18,6%) детей из них 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были у 4 несовершеннолетних.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17 наездах на несовершеннолетних произошли в границах безопасного маршрута движения «Дом – Школа – Дом». Недостатки УДС были выявлены в 15 из 18 ДТП совершенных на пешеходных переходах.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(44,2%), а также с 11 до 15 – 27,9%. Каждое третье ДТП произошло в пятницу (33,3%). Наибольшее количество ДТП – 42,9% произошло в промежуток времени с 12:00 до 15:00 – 21,4%, а также с 18:00 до 21:00 – 7 ДТП (16,6%).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с «детьми – пассажирами»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 9 месяцев 2018 года произошло 41 ДТП (-4,7%) с участием «детей – пассажиров», в которых 47 (-14,5%) несовершеннолетних получили травмы различной степени тяжести. </w:t>
      </w:r>
    </w:p>
    <w:p w:rsidR="001A1453" w:rsidRPr="006B28DD" w:rsidRDefault="001A1453" w:rsidP="001A145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пассажиров отмечается в следующих городах и районах: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Сыктывкаре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(АППГ – 7), Усинск 3 (АППГ – 0), Ухте 4 (АППГ – 3), Сосногорск 4 (АППГ – 3),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 районах.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Вне населенных пунктов произошло 20 </w:t>
      </w:r>
      <w:proofErr w:type="gram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ДТП</w:t>
      </w:r>
      <w:proofErr w:type="gram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которых пострадали 24 несовершеннолетних.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Из 47 пострадавших в ДТП несовершеннолетних пассажиров 34% перевозились без использования детских удерживающих систем или ремней безопасности.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44% ДТП (18),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(44,7%). В четверг произошло 19,5% ДТП, в субботу и воскресенье по 17,4%. В промежуток времени с 15:00 по 18:00 произошло 12 ДТП (29,3%), а также с 18:00 до 21:00 – 10 ДТП (24,4%).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с «детьми – водителями»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 9 месяцев 2018 года произошло 16 ДТП (-20%) с участием «детей – водителей», в которых пострадали 13 велосипедистов и 3 водителя 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мототехники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1A1453" w:rsidRPr="006B28DD" w:rsidRDefault="001A1453" w:rsidP="001A145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пассажиров отмечается в следующих городах и районах: Инта 1 (АППГ – 0), Сосногорск 2 (АППГ – 1),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ДТП произошли с участием несовершеннолетних в возрасте от 7 до 15 лет. Почти треть ДТП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31,3% произошли в пятницу, а также в среду и понедельник – по 3 ДТП соответственно. Наибольшее количество ДТП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43,8% произошло в промежуток времени с 15:00 до 18:00 – 7 ДТП.</w:t>
      </w:r>
    </w:p>
    <w:p w:rsidR="001A1453" w:rsidRPr="006B28DD" w:rsidRDefault="001A1453" w:rsidP="001A145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1 ДТП (1%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Усть-Цилемский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1A1453" w:rsidRPr="006B28DD" w:rsidRDefault="001A1453" w:rsidP="001A145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Вина в ДТП:</w:t>
      </w:r>
    </w:p>
    <w:p w:rsidR="001A1453" w:rsidRPr="006B28DD" w:rsidRDefault="001A1453" w:rsidP="001A145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Три четверти ДТП (72%) с участием несовершеннолетних произошли из-за нарушения Правил дорожного движения водителями транспортных средств. По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вине водителей, чей стаж управления транспортными средствами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более 15 лет произошло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ДТП (30%).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Пятеро водителей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5 ДТП (в гг. Сыктывкар (2 ДТП), Усинск, Ухта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районе).  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9 месяцев снизилось количество ДТП произошедших по неосторожности несовершеннолетних. Так по «вине» детей произошло 28 ДТП (АППГ – 43), в которых 2 детей погибли (АППГ – 2) и 27 получили травмы (АППГ 46) различной степени тяжести.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2;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идущим ТС – 1 (1 ребенок в сопровождении взрослого);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мототехникой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управления ТС – 3. 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53" w:rsidRPr="004B1B1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Pr="001A1453" w:rsidRDefault="001A1453" w:rsidP="001A1453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57289" w:rsidRPr="00A57289" w:rsidRDefault="00A57289" w:rsidP="006A7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7289" w:rsidRPr="00A57289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7595"/>
    <w:rsid w:val="00043D14"/>
    <w:rsid w:val="000B5A13"/>
    <w:rsid w:val="000B5C27"/>
    <w:rsid w:val="000E617E"/>
    <w:rsid w:val="00152458"/>
    <w:rsid w:val="00197F04"/>
    <w:rsid w:val="001A1453"/>
    <w:rsid w:val="001B0C80"/>
    <w:rsid w:val="001D005A"/>
    <w:rsid w:val="002451C9"/>
    <w:rsid w:val="002C7E04"/>
    <w:rsid w:val="002D540C"/>
    <w:rsid w:val="00321644"/>
    <w:rsid w:val="003246B2"/>
    <w:rsid w:val="00371329"/>
    <w:rsid w:val="00390B9F"/>
    <w:rsid w:val="00397622"/>
    <w:rsid w:val="00410348"/>
    <w:rsid w:val="00520D9A"/>
    <w:rsid w:val="005606E2"/>
    <w:rsid w:val="005B0FC3"/>
    <w:rsid w:val="005E09A9"/>
    <w:rsid w:val="006A74D7"/>
    <w:rsid w:val="006F7E77"/>
    <w:rsid w:val="00702196"/>
    <w:rsid w:val="007B5424"/>
    <w:rsid w:val="007C4C72"/>
    <w:rsid w:val="007D208E"/>
    <w:rsid w:val="00835AD6"/>
    <w:rsid w:val="009B4780"/>
    <w:rsid w:val="00A30BFE"/>
    <w:rsid w:val="00A57289"/>
    <w:rsid w:val="00AF6D22"/>
    <w:rsid w:val="00BB7595"/>
    <w:rsid w:val="00C542C3"/>
    <w:rsid w:val="00C946A7"/>
    <w:rsid w:val="00D53BE2"/>
    <w:rsid w:val="00E219C5"/>
    <w:rsid w:val="00E25F26"/>
    <w:rsid w:val="00F845BD"/>
    <w:rsid w:val="00FC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465587634878999E-2"/>
          <c:y val="5.1587301587301577E-2"/>
          <c:w val="0.90849737532808394"/>
          <c:h val="0.7735183102112234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3</c:v>
                </c:pt>
                <c:pt idx="2">
                  <c:v>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126</c:v>
                </c:pt>
                <c:pt idx="1">
                  <c:v>5</c:v>
                </c:pt>
                <c:pt idx="2">
                  <c:v>142</c:v>
                </c:pt>
              </c:numCache>
            </c:numRef>
          </c:val>
        </c:ser>
        <c:gapWidth val="219"/>
        <c:overlap val="-27"/>
        <c:axId val="82990976"/>
        <c:axId val="83023360"/>
      </c:barChart>
      <c:catAx>
        <c:axId val="829909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023360"/>
        <c:crosses val="autoZero"/>
        <c:auto val="1"/>
        <c:lblAlgn val="ctr"/>
        <c:lblOffset val="100"/>
      </c:catAx>
      <c:valAx>
        <c:axId val="830233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99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</c:numCache>
            </c:numRef>
          </c:val>
        </c:ser>
        <c:marker val="1"/>
        <c:axId val="83204352"/>
        <c:axId val="97509376"/>
      </c:lineChart>
      <c:catAx>
        <c:axId val="8320435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7509376"/>
        <c:crosses val="autoZero"/>
        <c:auto val="1"/>
        <c:lblAlgn val="ctr"/>
        <c:lblOffset val="100"/>
      </c:catAx>
      <c:valAx>
        <c:axId val="97509376"/>
        <c:scaling>
          <c:orientation val="minMax"/>
        </c:scaling>
        <c:axPos val="l"/>
        <c:majorGridlines/>
        <c:numFmt formatCode="General" sourceLinked="1"/>
        <c:tickLblPos val="nextTo"/>
        <c:crossAx val="832043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12</c:v>
                </c:pt>
                <c:pt idx="2">
                  <c:v>13</c:v>
                </c:pt>
                <c:pt idx="3">
                  <c:v>13</c:v>
                </c:pt>
                <c:pt idx="4">
                  <c:v>25</c:v>
                </c:pt>
                <c:pt idx="5">
                  <c:v>14</c:v>
                </c:pt>
                <c:pt idx="6">
                  <c:v>11</c:v>
                </c:pt>
              </c:numCache>
            </c:numRef>
          </c:val>
        </c:ser>
        <c:marker val="1"/>
        <c:axId val="101145984"/>
        <c:axId val="97316864"/>
      </c:lineChart>
      <c:catAx>
        <c:axId val="1011459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316864"/>
        <c:crosses val="autoZero"/>
        <c:auto val="1"/>
        <c:lblAlgn val="ctr"/>
        <c:lblOffset val="100"/>
      </c:catAx>
      <c:valAx>
        <c:axId val="97316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14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10</c:v>
                </c:pt>
                <c:pt idx="2">
                  <c:v>19</c:v>
                </c:pt>
                <c:pt idx="3">
                  <c:v>36</c:v>
                </c:pt>
                <c:pt idx="4">
                  <c:v>18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</c:ser>
        <c:marker val="1"/>
        <c:axId val="97476608"/>
        <c:axId val="97478144"/>
      </c:lineChart>
      <c:catAx>
        <c:axId val="974766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478144"/>
        <c:crosses val="autoZero"/>
        <c:auto val="1"/>
        <c:lblAlgn val="ctr"/>
        <c:lblOffset val="100"/>
      </c:catAx>
      <c:valAx>
        <c:axId val="97478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476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22</c:v>
                </c:pt>
                <c:pt idx="2">
                  <c:v>49</c:v>
                </c:pt>
                <c:pt idx="3">
                  <c:v>29</c:v>
                </c:pt>
              </c:numCache>
            </c:numRef>
          </c:val>
        </c:ser>
        <c:gapWidth val="219"/>
        <c:overlap val="-27"/>
        <c:axId val="71816320"/>
        <c:axId val="71817856"/>
      </c:barChart>
      <c:catAx>
        <c:axId val="718163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1817856"/>
        <c:crosses val="autoZero"/>
        <c:auto val="1"/>
        <c:lblAlgn val="ctr"/>
        <c:lblOffset val="100"/>
      </c:catAx>
      <c:valAx>
        <c:axId val="718178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816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41</c:v>
                </c:pt>
                <c:pt idx="2">
                  <c:v>13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</c:v>
                </c:pt>
                <c:pt idx="1">
                  <c:v>43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</c:ser>
        <c:gapWidth val="219"/>
        <c:overlap val="-27"/>
        <c:axId val="101351808"/>
        <c:axId val="101353344"/>
      </c:barChart>
      <c:catAx>
        <c:axId val="1013518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353344"/>
        <c:crosses val="autoZero"/>
        <c:auto val="1"/>
        <c:lblAlgn val="ctr"/>
        <c:lblOffset val="100"/>
      </c:catAx>
      <c:valAx>
        <c:axId val="1013533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5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3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</c:v>
                </c:pt>
                <c:pt idx="1">
                  <c:v>1</c:v>
                </c:pt>
                <c:pt idx="2">
                  <c:v>68</c:v>
                </c:pt>
              </c:numCache>
            </c:numRef>
          </c:val>
        </c:ser>
        <c:gapWidth val="219"/>
        <c:overlap val="-27"/>
        <c:axId val="83078144"/>
        <c:axId val="97469184"/>
      </c:barChart>
      <c:catAx>
        <c:axId val="830781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469184"/>
        <c:crosses val="autoZero"/>
        <c:auto val="1"/>
        <c:lblAlgn val="ctr"/>
        <c:lblOffset val="100"/>
      </c:catAx>
      <c:valAx>
        <c:axId val="97469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0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0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3</c:v>
                </c:pt>
                <c:pt idx="2">
                  <c:v>55</c:v>
                </c:pt>
              </c:numCache>
            </c:numRef>
          </c:val>
        </c:ser>
        <c:gapWidth val="219"/>
        <c:overlap val="-27"/>
        <c:axId val="72370048"/>
        <c:axId val="72371584"/>
      </c:barChart>
      <c:catAx>
        <c:axId val="723700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2371584"/>
        <c:crosses val="autoZero"/>
        <c:auto val="1"/>
        <c:lblAlgn val="ctr"/>
        <c:lblOffset val="100"/>
      </c:catAx>
      <c:valAx>
        <c:axId val="723715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370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</c:ser>
        <c:gapWidth val="219"/>
        <c:overlap val="-27"/>
        <c:axId val="101303040"/>
        <c:axId val="101304576"/>
      </c:barChart>
      <c:catAx>
        <c:axId val="1013030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04576"/>
        <c:crosses val="autoZero"/>
        <c:auto val="1"/>
        <c:lblAlgn val="ctr"/>
        <c:lblOffset val="100"/>
      </c:catAx>
      <c:valAx>
        <c:axId val="101304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03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Социальный педагог</cp:lastModifiedBy>
  <cp:revision>28</cp:revision>
  <cp:lastPrinted>2018-10-22T11:15:00Z</cp:lastPrinted>
  <dcterms:created xsi:type="dcterms:W3CDTF">2018-05-30T07:00:00Z</dcterms:created>
  <dcterms:modified xsi:type="dcterms:W3CDTF">2018-10-24T08:35:00Z</dcterms:modified>
</cp:coreProperties>
</file>