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03" w:rsidRPr="00AA3468" w:rsidRDefault="00DA2E03" w:rsidP="00DA2E03">
      <w:pPr>
        <w:ind w:firstLine="709"/>
        <w:jc w:val="right"/>
        <w:rPr>
          <w:rFonts w:eastAsia="Times New Roman"/>
          <w:iCs/>
          <w:sz w:val="18"/>
          <w:szCs w:val="18"/>
          <w:lang w:eastAsia="ru-RU"/>
        </w:rPr>
      </w:pPr>
    </w:p>
    <w:p w:rsidR="00DA2E03" w:rsidRDefault="00DA2E03" w:rsidP="00DA2E03">
      <w:pPr>
        <w:ind w:firstLine="709"/>
        <w:jc w:val="center"/>
        <w:rPr>
          <w:rFonts w:eastAsia="Times New Roman"/>
          <w:b/>
          <w:iCs/>
          <w:sz w:val="28"/>
          <w:szCs w:val="28"/>
          <w:lang w:eastAsia="ru-RU"/>
        </w:rPr>
      </w:pPr>
    </w:p>
    <w:p w:rsidR="00DA2E03" w:rsidRDefault="00DA2E03" w:rsidP="00DA2E03">
      <w:pPr>
        <w:ind w:firstLine="709"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AA3468">
        <w:rPr>
          <w:rFonts w:eastAsia="Times New Roman"/>
          <w:b/>
          <w:iCs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</w:t>
      </w:r>
      <w:r>
        <w:rPr>
          <w:rFonts w:eastAsia="Times New Roman"/>
          <w:b/>
          <w:iCs/>
          <w:sz w:val="28"/>
          <w:szCs w:val="28"/>
          <w:lang w:eastAsia="ru-RU"/>
        </w:rPr>
        <w:t>.</w:t>
      </w:r>
    </w:p>
    <w:p w:rsidR="00DA2E03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iCs/>
          <w:sz w:val="28"/>
          <w:szCs w:val="28"/>
          <w:lang w:eastAsia="ru-RU"/>
        </w:rPr>
        <w:t>З</w:t>
      </w:r>
      <w:r w:rsidRPr="00490B91">
        <w:rPr>
          <w:rFonts w:eastAsia="Times New Roman"/>
          <w:iCs/>
          <w:sz w:val="28"/>
          <w:szCs w:val="28"/>
          <w:lang w:eastAsia="ru-RU"/>
        </w:rPr>
        <w:t xml:space="preserve">а восемь месяцев 2017 года количество ДТП с участием несовершеннолетних по сравнению с аналогичным периодом прошлого года (далее - АППГ) увеличилось на 2,8%. Так, на дорогах республики зарегистрировано 110 ДТП (АППГ – 107), в которых число несовершеннолетних получивших травмы увеличилось на 0,8% (с 123 до 124) и пятеро детей погибли (АППГ – 3).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По неосторожности детей произошло 38 ДТП (34,5% от общего числа).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507355" cy="3221355"/>
            <wp:effectExtent l="0" t="0" r="0" b="0"/>
            <wp:docPr id="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– до 2-х лет: 10 (7,8%) детей.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от 3 до 6 лет: 23 (17,8%) несовершеннолетних.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от 7 до 10 лет: 44 (34,1%) несовершеннолетних.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от 11 до 15 лет: 52 (40,3%) несовершеннолетних.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Таким образом, наибольший процент пострадавших – это несовершеннолетние в возрасте от 11 до 15 лет. Из 129 пострадавших детей 68 мальч</w:t>
      </w:r>
      <w:r w:rsidRPr="00490B91">
        <w:rPr>
          <w:rFonts w:eastAsia="Times New Roman"/>
          <w:iCs/>
          <w:sz w:val="28"/>
          <w:szCs w:val="28"/>
          <w:lang w:eastAsia="ru-RU"/>
        </w:rPr>
        <w:t>и</w:t>
      </w:r>
      <w:r w:rsidRPr="00490B91">
        <w:rPr>
          <w:rFonts w:eastAsia="Times New Roman"/>
          <w:iCs/>
          <w:sz w:val="28"/>
          <w:szCs w:val="28"/>
          <w:lang w:eastAsia="ru-RU"/>
        </w:rPr>
        <w:t>ков и 61 девочка.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Рост числа ДТП с участием несовершеннолетних отмечается в следующих городах и районах республики: Воркута 8 (АППГ – 3), Печера 7 (АППГ – 2), Ухта 14 (АППГ – 11), Сосногорск 5 (АППГ – 2), </w:t>
      </w: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Сысольский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район 5 (АППГ – 0) и </w:t>
      </w: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Усть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– </w:t>
      </w: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Цилемский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район 4 (АППГ – 0). Снижение числа ДТП зафиксировано в Сыктывкаре 34 ДТП (АППГ – 45), Усинске 1 (АППГ – 5), и </w:t>
      </w: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Усть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– </w:t>
      </w: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Вымском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районе 6 (АППГ – 11).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Общее количество ДТП за прошедшие месяцы: январь – 11 ДТП (10%), февраль – 15 (13,6%), март – 8 (7,3%), апрель – 12 (10,9%), май –11 (10%), июнь – 20 (18,2%), июль – 17 (15,5%), август 16 (14.5%).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7355" cy="3221355"/>
            <wp:effectExtent l="0" t="0" r="0" b="0"/>
            <wp:docPr id="2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Распределение ДТП по дням недели: наибольшее количество ДТП произошло в понедельник – 21 ДТП (19%) и в воскресенье – 19 ДТП (17,3%). День, в котором произошло меньше всего ДТП – вторник – 11 ДТП (10%).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507355" cy="3561715"/>
            <wp:effectExtent l="0" t="0" r="0" b="0"/>
            <wp:docPr id="3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ДТП по времени суток: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утром (с 6-00 до 12-00) – 14 (12,7%);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днем (с 12-00 до 18-00) – 51 (46,4%);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– вечером (с 18-00 до 24-00) – 44 (40%);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– ночью (с 24-00 до 6-00) – 1 (0,9%). </w:t>
      </w:r>
      <w:r w:rsidRPr="00490B91">
        <w:rPr>
          <w:rFonts w:eastAsia="Times New Roman"/>
          <w:iCs/>
          <w:sz w:val="28"/>
          <w:szCs w:val="28"/>
          <w:lang w:eastAsia="ru-RU"/>
        </w:rPr>
        <w:tab/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В светлое время суток произошло 78 ДТП, в темное время 32.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Распределение пострадавших несовершеннолетних в дорожно-транспортных происшествиях по категориям участников дорожного движения: 57 пешеходов (из них 1 погиб), 54 пассажира (из них 3 погибли), 12 в</w:t>
      </w:r>
      <w:r w:rsidRPr="00490B91">
        <w:rPr>
          <w:rFonts w:eastAsia="Times New Roman"/>
          <w:iCs/>
          <w:sz w:val="28"/>
          <w:szCs w:val="28"/>
          <w:lang w:eastAsia="ru-RU"/>
        </w:rPr>
        <w:t>е</w:t>
      </w:r>
      <w:r w:rsidRPr="00490B91">
        <w:rPr>
          <w:rFonts w:eastAsia="Times New Roman"/>
          <w:iCs/>
          <w:sz w:val="28"/>
          <w:szCs w:val="28"/>
          <w:lang w:eastAsia="ru-RU"/>
        </w:rPr>
        <w:t>лосипедистов (из них 1 погиб), 6 водителей транспортных средств.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490B91">
        <w:rPr>
          <w:rFonts w:eastAsia="Times New Roman"/>
          <w:b/>
          <w:iCs/>
          <w:sz w:val="28"/>
          <w:szCs w:val="28"/>
          <w:lang w:eastAsia="ru-RU"/>
        </w:rPr>
        <w:t xml:space="preserve">– В 53 ДТП (48,2% от общего числа ДТП) с участием детей – пешеходов 56 несовершеннолетних получили травмы и один ребенок погиб.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b/>
          <w:iCs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07355" cy="3221355"/>
            <wp:effectExtent l="0" t="0" r="0" b="0"/>
            <wp:docPr id="4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Все 56 пострадавших получили травмы в населенном пункте, вне населенного пункта в ДТП погиб один ребенок – пешеход (</w:t>
      </w:r>
      <w:proofErr w:type="gramStart"/>
      <w:r w:rsidRPr="00490B91">
        <w:rPr>
          <w:rFonts w:eastAsia="Times New Roman"/>
          <w:iCs/>
          <w:sz w:val="28"/>
          <w:szCs w:val="28"/>
          <w:lang w:eastAsia="ru-RU"/>
        </w:rPr>
        <w:t>г</w:t>
      </w:r>
      <w:proofErr w:type="gramEnd"/>
      <w:r w:rsidRPr="00490B91">
        <w:rPr>
          <w:rFonts w:eastAsia="Times New Roman"/>
          <w:iCs/>
          <w:sz w:val="28"/>
          <w:szCs w:val="28"/>
          <w:lang w:eastAsia="ru-RU"/>
        </w:rPr>
        <w:t xml:space="preserve">. Воркута). На пешеходных переходах пострадали 22 ребенка, из них 4 были в сопровождении родителей. 15 детей пострадали в дворовой территории, на краю проезжей части или на тротуаре (5 детей находились в сопровождении взрослых). По собственной неосторожности пострадали 24 ребёнка – пешехода (42,1%). Причины ДТП по неосторожности детей: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переход проезжей части вне пешеходного перехода (вне его видимости) – 6 (в сопровождении взрослого 3 ребенка);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переход проезжей части вне пешеходного перехода, в зоне его видимости – 8 детей (в сопровождении взрослого 3 ребенка);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– выход на проезжую часть из-за </w:t>
      </w:r>
      <w:proofErr w:type="gramStart"/>
      <w:r w:rsidRPr="00490B91">
        <w:rPr>
          <w:rFonts w:eastAsia="Times New Roman"/>
          <w:iCs/>
          <w:sz w:val="28"/>
          <w:szCs w:val="28"/>
          <w:lang w:eastAsia="ru-RU"/>
        </w:rPr>
        <w:t>стоящего</w:t>
      </w:r>
      <w:proofErr w:type="gramEnd"/>
      <w:r w:rsidRPr="00490B91">
        <w:rPr>
          <w:rFonts w:eastAsia="Times New Roman"/>
          <w:iCs/>
          <w:sz w:val="28"/>
          <w:szCs w:val="28"/>
          <w:lang w:eastAsia="ru-RU"/>
        </w:rPr>
        <w:t xml:space="preserve"> ТС – 3;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– </w:t>
      </w:r>
      <w:proofErr w:type="gramStart"/>
      <w:r w:rsidRPr="00490B91">
        <w:rPr>
          <w:rFonts w:eastAsia="Times New Roman"/>
          <w:iCs/>
          <w:sz w:val="28"/>
          <w:szCs w:val="28"/>
          <w:lang w:eastAsia="ru-RU"/>
        </w:rPr>
        <w:t>перед</w:t>
      </w:r>
      <w:proofErr w:type="gramEnd"/>
      <w:r w:rsidRPr="00490B91">
        <w:rPr>
          <w:rFonts w:eastAsia="Times New Roman"/>
          <w:iCs/>
          <w:sz w:val="28"/>
          <w:szCs w:val="28"/>
          <w:lang w:eastAsia="ru-RU"/>
        </w:rPr>
        <w:t xml:space="preserve"> близко идущим ТС – 3;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на красный сигнал светофора – 3;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игра на проезжей части – 1 ребенок.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42 ребёнка в момент ДТП находились без сопровождения взрослых.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Световозвращающие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элементы присутствовали на одежде у 9 (15,8%) несовершеннолетних из общего числа пострадавших пешеходов. В темное время суток пострадали 16 (28%) несовершеннолетних пешеходов из них </w:t>
      </w: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световозвращающие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элементы были у 31,3% (5 детей).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b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– </w:t>
      </w:r>
      <w:r w:rsidRPr="00490B91">
        <w:rPr>
          <w:rFonts w:eastAsia="Times New Roman"/>
          <w:b/>
          <w:iCs/>
          <w:sz w:val="28"/>
          <w:szCs w:val="28"/>
          <w:lang w:eastAsia="ru-RU"/>
        </w:rPr>
        <w:t xml:space="preserve">В 39 ДТП (АППГ – 49) пострадал 51 несовершеннолетний пассажир (АППГ – 65) и три ребёнка погибли (АППГ – 3).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507355" cy="3221355"/>
            <wp:effectExtent l="0" t="0" r="0" b="0"/>
            <wp:docPr id="5" name="Диаграмма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Проведённым анализом установлено, что из 54 несовершеннолетних пассажиров 29 (53,7%) – перевозились с использованием детских удерживающих систем или ремней безопасности. </w:t>
      </w:r>
      <w:proofErr w:type="gramStart"/>
      <w:r w:rsidRPr="00490B91">
        <w:rPr>
          <w:rFonts w:eastAsia="Times New Roman"/>
          <w:iCs/>
          <w:sz w:val="28"/>
          <w:szCs w:val="28"/>
          <w:lang w:eastAsia="ru-RU"/>
        </w:rPr>
        <w:t>Следовательно</w:t>
      </w:r>
      <w:proofErr w:type="gramEnd"/>
      <w:r w:rsidRPr="00490B91">
        <w:rPr>
          <w:rFonts w:eastAsia="Times New Roman"/>
          <w:iCs/>
          <w:sz w:val="28"/>
          <w:szCs w:val="28"/>
          <w:lang w:eastAsia="ru-RU"/>
        </w:rPr>
        <w:t xml:space="preserve"> 25 детей (46,3%) перевозились в транспортном средстве без них. 19 пострадавших получили травмы в населенном пункте, вне населенного пункта в ДТП пострадали 35 несовершеннолетних, из которых трое погибли (в </w:t>
      </w: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Усть-Куломском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и </w:t>
      </w: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Удо</w:t>
      </w:r>
      <w:r w:rsidRPr="00490B91">
        <w:rPr>
          <w:rFonts w:eastAsia="Times New Roman"/>
          <w:iCs/>
          <w:sz w:val="28"/>
          <w:szCs w:val="28"/>
          <w:lang w:eastAsia="ru-RU"/>
        </w:rPr>
        <w:t>р</w:t>
      </w:r>
      <w:r w:rsidRPr="00490B91">
        <w:rPr>
          <w:rFonts w:eastAsia="Times New Roman"/>
          <w:iCs/>
          <w:sz w:val="28"/>
          <w:szCs w:val="28"/>
          <w:lang w:eastAsia="ru-RU"/>
        </w:rPr>
        <w:t>ском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районах).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11 (20,4%) несовершеннолетних были пассажирами рейсовых автобусов.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Распределение видов ДТП с пострадавшими детьми-пассажирами: столкновение – 21, опрокидывание – 4, наезд на стоящее ТС – 2, наезд на препятствие – 4, выезд на полосу встречного движения – 13. 7 ДТП произошло на перекрестках. В 1 ДТП были выявлены нарушения организованной перевозки групп детей (</w:t>
      </w:r>
      <w:proofErr w:type="spellStart"/>
      <w:r w:rsidRPr="00490B91">
        <w:rPr>
          <w:rFonts w:eastAsia="Times New Roman"/>
          <w:iCs/>
          <w:sz w:val="28"/>
          <w:szCs w:val="28"/>
          <w:lang w:eastAsia="ru-RU"/>
        </w:rPr>
        <w:t>Усть-Вымский</w:t>
      </w:r>
      <w:proofErr w:type="spellEnd"/>
      <w:r w:rsidRPr="00490B91">
        <w:rPr>
          <w:rFonts w:eastAsia="Times New Roman"/>
          <w:iCs/>
          <w:sz w:val="28"/>
          <w:szCs w:val="28"/>
          <w:lang w:eastAsia="ru-RU"/>
        </w:rPr>
        <w:t xml:space="preserve"> район).</w:t>
      </w:r>
    </w:p>
    <w:p w:rsidR="00DA2E03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b/>
          <w:iCs/>
          <w:sz w:val="28"/>
          <w:szCs w:val="28"/>
          <w:lang w:eastAsia="ru-RU"/>
        </w:rPr>
        <w:t>– В 12 ДТП пострадали 11 (4,4%) несовершеннолетних водителей велосипедов, один ребенок погиб.</w:t>
      </w:r>
      <w:r w:rsidRPr="00490B91">
        <w:rPr>
          <w:rFonts w:eastAsia="Times New Roman"/>
          <w:iCs/>
          <w:sz w:val="28"/>
          <w:szCs w:val="28"/>
          <w:lang w:eastAsia="ru-RU"/>
        </w:rPr>
        <w:t xml:space="preserve"> 11 пострадавших получили травмы в населенном пункте, вне населенного пункта в ДТП пострадал один ребенок – велосипедист. По собственной неосторожности пострадали 8 детей (АППГ – 6). </w:t>
      </w:r>
    </w:p>
    <w:p w:rsidR="00DA2E03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lang w:eastAsia="ru-RU"/>
        </w:rPr>
      </w:pPr>
    </w:p>
    <w:p w:rsidR="00DA2E03" w:rsidRDefault="00DA2E03" w:rsidP="00DA2E03">
      <w:pPr>
        <w:ind w:firstLine="709"/>
        <w:jc w:val="both"/>
        <w:rPr>
          <w:rFonts w:eastAsia="Times New Roman"/>
          <w:iCs/>
          <w:lang w:eastAsia="ru-RU"/>
        </w:rPr>
      </w:pPr>
    </w:p>
    <w:p w:rsidR="00DA2E03" w:rsidRDefault="00DA2E03" w:rsidP="00DA2E03">
      <w:pPr>
        <w:ind w:firstLine="709"/>
        <w:jc w:val="center"/>
        <w:rPr>
          <w:rFonts w:eastAsia="Times New Roman"/>
          <w:iCs/>
          <w:lang w:eastAsia="ru-RU"/>
        </w:rPr>
      </w:pPr>
    </w:p>
    <w:p w:rsidR="00DA2E03" w:rsidRPr="00180CC3" w:rsidRDefault="00DA2E03" w:rsidP="00DA2E03">
      <w:pPr>
        <w:ind w:firstLine="709"/>
        <w:jc w:val="right"/>
        <w:rPr>
          <w:rFonts w:eastAsia="Times New Roman"/>
          <w:iCs/>
          <w:lang w:eastAsia="ru-RU"/>
        </w:rPr>
      </w:pP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071745" cy="3242945"/>
            <wp:effectExtent l="0" t="0" r="0" b="0"/>
            <wp:docPr id="6" name="Диаграмма 26" descr="Название: ДТП с участием детей - велосипедист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Причины ДТП по неосторожности детей - велосипедистов: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выезд на проезжую часть в возрасте до 14 лет – 3;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– переезд проезжей части на велосипеде (не спешившись) – 5 детей.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b/>
          <w:iCs/>
          <w:sz w:val="28"/>
          <w:szCs w:val="28"/>
          <w:lang w:eastAsia="ru-RU"/>
        </w:rPr>
        <w:t>– 6 ДТП произошло с участием несовершеннолетних водителей бурана, скутера, мопедов и мотоциклов</w:t>
      </w:r>
      <w:r w:rsidRPr="00490B91">
        <w:rPr>
          <w:rFonts w:eastAsia="Times New Roman"/>
          <w:iCs/>
          <w:sz w:val="28"/>
          <w:szCs w:val="28"/>
          <w:lang w:eastAsia="ru-RU"/>
        </w:rPr>
        <w:t xml:space="preserve">, во всех случаях дети получили травмы, пятеро несовершеннолетних получили травмы в населенном пункте, вне населенного пункта в ДТП пострадал один ребенок – водитель бурана. Все ДТП произошли по неосторожности детей (возраст до 16 лет, а также отсутствие водительского удостоверения на право управления транспортными средствами). 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>Таким образом, по неосторожности детей произошло 38 (34,5%) ДТП (АППГ – 21).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Водительский стаж участников ДТП составил от 10 до 15 лет. 7 ДТП произошли с участием </w:t>
      </w:r>
      <w:proofErr w:type="gramStart"/>
      <w:r w:rsidRPr="00490B91">
        <w:rPr>
          <w:rFonts w:eastAsia="Times New Roman"/>
          <w:iCs/>
          <w:sz w:val="28"/>
          <w:szCs w:val="28"/>
          <w:lang w:eastAsia="ru-RU"/>
        </w:rPr>
        <w:t>водителей</w:t>
      </w:r>
      <w:proofErr w:type="gramEnd"/>
      <w:r w:rsidRPr="00490B91">
        <w:rPr>
          <w:rFonts w:eastAsia="Times New Roman"/>
          <w:iCs/>
          <w:sz w:val="28"/>
          <w:szCs w:val="28"/>
          <w:lang w:eastAsia="ru-RU"/>
        </w:rPr>
        <w:t xml:space="preserve"> не имеющих водительского удостоверения.</w:t>
      </w:r>
    </w:p>
    <w:p w:rsidR="00DA2E03" w:rsidRPr="00490B91" w:rsidRDefault="00DA2E03" w:rsidP="00DA2E03">
      <w:pPr>
        <w:ind w:firstLine="709"/>
        <w:jc w:val="both"/>
        <w:rPr>
          <w:rFonts w:eastAsia="Times New Roman"/>
          <w:iCs/>
          <w:sz w:val="28"/>
          <w:szCs w:val="28"/>
          <w:lang w:eastAsia="ru-RU"/>
        </w:rPr>
      </w:pPr>
      <w:r w:rsidRPr="00490B91">
        <w:rPr>
          <w:rFonts w:eastAsia="Times New Roman"/>
          <w:iCs/>
          <w:sz w:val="28"/>
          <w:szCs w:val="28"/>
          <w:lang w:eastAsia="ru-RU"/>
        </w:rPr>
        <w:t xml:space="preserve">По вине </w:t>
      </w:r>
      <w:proofErr w:type="gramStart"/>
      <w:r w:rsidRPr="00490B91">
        <w:rPr>
          <w:rFonts w:eastAsia="Times New Roman"/>
          <w:iCs/>
          <w:sz w:val="28"/>
          <w:szCs w:val="28"/>
          <w:lang w:eastAsia="ru-RU"/>
        </w:rPr>
        <w:t>водителей, управляющих транспортными средствами в состоянии опьянения зарегистрировано</w:t>
      </w:r>
      <w:proofErr w:type="gramEnd"/>
      <w:r w:rsidRPr="00490B91">
        <w:rPr>
          <w:rFonts w:eastAsia="Times New Roman"/>
          <w:iCs/>
          <w:sz w:val="28"/>
          <w:szCs w:val="28"/>
          <w:lang w:eastAsia="ru-RU"/>
        </w:rPr>
        <w:t xml:space="preserve"> 13 ДТП в результате которых, два ребенка погибли и 13 получили травмы. Из них 4 – е водителя не имели права упра</w:t>
      </w:r>
      <w:r w:rsidRPr="00490B91">
        <w:rPr>
          <w:rFonts w:eastAsia="Times New Roman"/>
          <w:iCs/>
          <w:sz w:val="28"/>
          <w:szCs w:val="28"/>
          <w:lang w:eastAsia="ru-RU"/>
        </w:rPr>
        <w:t>в</w:t>
      </w:r>
      <w:r w:rsidRPr="00490B91">
        <w:rPr>
          <w:rFonts w:eastAsia="Times New Roman"/>
          <w:iCs/>
          <w:sz w:val="28"/>
          <w:szCs w:val="28"/>
          <w:lang w:eastAsia="ru-RU"/>
        </w:rPr>
        <w:t>ления транспортными средствами.</w:t>
      </w:r>
    </w:p>
    <w:p w:rsidR="00DA2E03" w:rsidRDefault="00DA2E03" w:rsidP="00DA2E03"/>
    <w:p w:rsidR="00AD0FCC" w:rsidRDefault="00AD0FCC"/>
    <w:sectPr w:rsidR="00AD0FCC" w:rsidSect="00180C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A2E03"/>
    <w:rsid w:val="005A5D03"/>
    <w:rsid w:val="00AD0FCC"/>
    <w:rsid w:val="00DA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0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A2E03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2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E03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371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110</c:v>
                </c:pt>
                <c:pt idx="1">
                  <c:v>5</c:v>
                </c:pt>
                <c:pt idx="2">
                  <c:v>124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371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107</c:v>
                </c:pt>
                <c:pt idx="1">
                  <c:v>3</c:v>
                </c:pt>
                <c:pt idx="2">
                  <c:v>123</c:v>
                </c:pt>
              </c:numCache>
            </c:numRef>
          </c:val>
        </c:ser>
        <c:gapWidth val="219"/>
        <c:overlap val="-27"/>
        <c:axId val="50386432"/>
        <c:axId val="52582272"/>
      </c:barChart>
      <c:catAx>
        <c:axId val="503864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582272"/>
        <c:crosses val="autoZero"/>
        <c:auto val="1"/>
        <c:lblAlgn val="ctr"/>
        <c:lblOffset val="100"/>
      </c:catAx>
      <c:valAx>
        <c:axId val="52582272"/>
        <c:scaling>
          <c:orientation val="minMax"/>
        </c:scaling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1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386432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layout/>
      <c:spPr>
        <a:noFill/>
        <a:ln w="2537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ДТП</c:v>
                </c:pt>
              </c:strCache>
            </c:strRef>
          </c:tx>
          <c:spPr>
            <a:ln w="28542" cap="rnd" cmpd="sng">
              <a:solidFill>
                <a:schemeClr val="tx2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  <c:pt idx="6">
                  <c:v>17</c:v>
                </c:pt>
                <c:pt idx="7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пострадавших</c:v>
                </c:pt>
              </c:strCache>
            </c:strRef>
          </c:tx>
          <c:spPr>
            <a:ln w="28542" cap="rnd">
              <a:solidFill>
                <a:srgbClr val="C00000"/>
              </a:solidFill>
              <a:prstDash val="dash"/>
              <a:bevel/>
            </a:ln>
            <a:effectLst/>
          </c:spPr>
          <c:marker>
            <c:symbol val="none"/>
          </c:marker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11</c:v>
                </c:pt>
                <c:pt idx="1">
                  <c:v>20</c:v>
                </c:pt>
                <c:pt idx="2">
                  <c:v>10</c:v>
                </c:pt>
                <c:pt idx="3">
                  <c:v>16</c:v>
                </c:pt>
                <c:pt idx="4">
                  <c:v>12</c:v>
                </c:pt>
                <c:pt idx="5">
                  <c:v>22</c:v>
                </c:pt>
                <c:pt idx="6">
                  <c:v>19</c:v>
                </c:pt>
                <c:pt idx="7">
                  <c:v>20</c:v>
                </c:pt>
              </c:numCache>
            </c:numRef>
          </c:val>
        </c:ser>
        <c:marker val="1"/>
        <c:axId val="62601472"/>
        <c:axId val="62628224"/>
      </c:lineChart>
      <c:catAx>
        <c:axId val="62601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628224"/>
        <c:crosses val="autoZero"/>
        <c:auto val="1"/>
        <c:lblAlgn val="ctr"/>
        <c:lblOffset val="100"/>
      </c:catAx>
      <c:valAx>
        <c:axId val="62628224"/>
        <c:scaling>
          <c:orientation val="minMax"/>
        </c:scaling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1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601472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b"/>
      <c:spPr>
        <a:noFill/>
        <a:ln w="2537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Пн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Пт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Сб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Вс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gapWidth val="8"/>
        <c:overlap val="-57"/>
        <c:axId val="63029632"/>
        <c:axId val="63313408"/>
      </c:barChart>
      <c:catAx>
        <c:axId val="63029632"/>
        <c:scaling>
          <c:orientation val="minMax"/>
        </c:scaling>
        <c:axPos val="b"/>
        <c:numFmt formatCode="General" sourceLinked="0"/>
        <c:tickLblPos val="nextTo"/>
        <c:crossAx val="63313408"/>
        <c:crosses val="autoZero"/>
        <c:auto val="1"/>
        <c:lblAlgn val="ctr"/>
        <c:lblOffset val="100"/>
      </c:catAx>
      <c:valAx>
        <c:axId val="63313408"/>
        <c:scaling>
          <c:orientation val="minMax"/>
        </c:scaling>
        <c:axPos val="l"/>
        <c:majorGridlines/>
        <c:numFmt formatCode="General" sourceLinked="1"/>
        <c:tickLblPos val="nextTo"/>
        <c:crossAx val="63029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9217587470987636"/>
          <c:w val="1"/>
          <c:h val="6.4813344612915116E-2"/>
        </c:manualLayout>
      </c:layout>
    </c:legend>
    <c:plotVisOnly val="1"/>
    <c:dispBlanksAs val="gap"/>
  </c:chart>
  <c:spPr>
    <a:noFill/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spPr>
        <a:noFill/>
        <a:ln w="25371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371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</c:v>
                </c:pt>
                <c:pt idx="1">
                  <c:v>1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371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</c:ser>
        <c:gapWidth val="219"/>
        <c:overlap val="-27"/>
        <c:axId val="105950208"/>
        <c:axId val="67814528"/>
      </c:barChart>
      <c:catAx>
        <c:axId val="1059502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814528"/>
        <c:crosses val="autoZero"/>
        <c:auto val="1"/>
        <c:lblAlgn val="ctr"/>
        <c:lblOffset val="100"/>
      </c:catAx>
      <c:valAx>
        <c:axId val="67814528"/>
        <c:scaling>
          <c:orientation val="minMax"/>
        </c:scaling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1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50208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2537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spPr>
        <a:noFill/>
        <a:ln w="25371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371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3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371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49</c:v>
                </c:pt>
                <c:pt idx="1">
                  <c:v>3</c:v>
                </c:pt>
                <c:pt idx="2">
                  <c:v>65</c:v>
                </c:pt>
              </c:numCache>
            </c:numRef>
          </c:val>
        </c:ser>
        <c:gapWidth val="219"/>
        <c:overlap val="-27"/>
        <c:axId val="67208704"/>
        <c:axId val="67210240"/>
      </c:barChart>
      <c:catAx>
        <c:axId val="67208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210240"/>
        <c:crosses val="autoZero"/>
        <c:auto val="1"/>
        <c:lblAlgn val="ctr"/>
        <c:lblOffset val="100"/>
      </c:catAx>
      <c:valAx>
        <c:axId val="67210240"/>
        <c:scaling>
          <c:orientation val="minMax"/>
        </c:scaling>
        <c:axPos val="l"/>
        <c:majorGridlines>
          <c:spPr>
            <a:ln w="951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1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7208704"/>
        <c:crosses val="autoZero"/>
        <c:crossBetween val="between"/>
      </c:valAx>
      <c:spPr>
        <a:noFill/>
        <a:ln w="25371">
          <a:noFill/>
        </a:ln>
      </c:spPr>
    </c:plotArea>
    <c:legend>
      <c:legendPos val="b"/>
      <c:spPr>
        <a:noFill/>
        <a:ln w="25371">
          <a:noFill/>
        </a:ln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велосипедистов</a:t>
            </a:r>
          </a:p>
        </c:rich>
      </c:tx>
      <c:spPr>
        <a:noFill/>
        <a:ln w="25397">
          <a:noFill/>
        </a:ln>
      </c:spPr>
    </c:title>
    <c:plotArea>
      <c:layout>
        <c:manualLayout>
          <c:layoutTarget val="inner"/>
          <c:xMode val="edge"/>
          <c:yMode val="edge"/>
          <c:x val="8.0947069116360515E-2"/>
          <c:y val="0.13832549037879141"/>
          <c:w val="0.91905293088363949"/>
          <c:h val="0.678843901908711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4F81BD"/>
            </a:solidFill>
            <a:ln w="25397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C0504D"/>
            </a:solidFill>
            <a:ln w="25397">
              <a:noFill/>
            </a:ln>
          </c:spPr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12</c:v>
                </c:pt>
              </c:numCache>
            </c:numRef>
          </c:val>
        </c:ser>
        <c:gapWidth val="219"/>
        <c:overlap val="-27"/>
        <c:axId val="80121216"/>
        <c:axId val="79377536"/>
      </c:barChart>
      <c:catAx>
        <c:axId val="80121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377536"/>
        <c:crosses val="autoZero"/>
        <c:auto val="1"/>
        <c:lblAlgn val="ctr"/>
        <c:lblOffset val="100"/>
      </c:catAx>
      <c:valAx>
        <c:axId val="79377536"/>
        <c:scaling>
          <c:orientation val="minMax"/>
        </c:scaling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4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121216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spPr>
        <a:noFill/>
        <a:ln w="25397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4895</Characters>
  <Application>Microsoft Office Word</Application>
  <DocSecurity>0</DocSecurity>
  <Lines>40</Lines>
  <Paragraphs>11</Paragraphs>
  <ScaleCrop>false</ScaleCrop>
  <Company>Школа сад №1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dcterms:created xsi:type="dcterms:W3CDTF">2017-09-22T08:12:00Z</dcterms:created>
  <dcterms:modified xsi:type="dcterms:W3CDTF">2017-09-22T08:14:00Z</dcterms:modified>
</cp:coreProperties>
</file>